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Calibri" w:hAnsi="Calibri" w:cs="Times New Roman"/>
          <w:b/>
          <w:sz w:val="28"/>
          <w:szCs w:val="28"/>
        </w:rPr>
      </w:pPr>
      <w:r>
        <w:rPr>
          <w:rFonts w:hint="eastAsia" w:ascii="Calibri" w:hAnsi="Calibri"/>
          <w:b/>
          <w:sz w:val="28"/>
          <w:szCs w:val="28"/>
        </w:rPr>
        <w:t>大型石块货物托运</w:t>
      </w:r>
      <w:r>
        <w:rPr>
          <w:rFonts w:hint="eastAsia" w:ascii="Calibri" w:hAnsi="Calibri"/>
          <w:b/>
          <w:sz w:val="28"/>
          <w:szCs w:val="28"/>
          <w:lang w:val="en-US" w:eastAsia="zh-CN"/>
        </w:rPr>
        <w:t>总</w:t>
      </w:r>
      <w:r>
        <w:rPr>
          <w:rFonts w:hint="eastAsia" w:ascii="Calibri" w:hAnsi="Calibri"/>
          <w:b/>
          <w:sz w:val="28"/>
          <w:szCs w:val="28"/>
        </w:rPr>
        <w:t>保函</w:t>
      </w:r>
    </w:p>
    <w:p>
      <w:pPr>
        <w:pStyle w:val="6"/>
        <w:keepNext w:val="0"/>
        <w:keepLines w:val="0"/>
        <w:widowControl w:val="0"/>
        <w:shd w:val="clear" w:color="auto" w:fill="auto"/>
        <w:bidi w:val="0"/>
        <w:spacing w:before="0" w:after="160" w:line="240" w:lineRule="auto"/>
        <w:ind w:left="0" w:right="0" w:firstLine="0"/>
        <w:jc w:val="both"/>
        <w:rPr>
          <w:color w:val="000000"/>
          <w:spacing w:val="0"/>
          <w:w w:val="100"/>
          <w:position w:val="0"/>
          <w:sz w:val="24"/>
          <w:szCs w:val="24"/>
        </w:rPr>
      </w:pPr>
    </w:p>
    <w:p>
      <w:pPr>
        <w:pStyle w:val="6"/>
        <w:keepNext w:val="0"/>
        <w:keepLines w:val="0"/>
        <w:widowControl w:val="0"/>
        <w:shd w:val="clear" w:color="auto" w:fill="auto"/>
        <w:bidi w:val="0"/>
        <w:spacing w:before="0" w:after="160" w:line="240" w:lineRule="auto"/>
        <w:ind w:left="0" w:right="0" w:firstLine="0"/>
        <w:jc w:val="both"/>
        <w:rPr>
          <w:color w:val="000000"/>
          <w:spacing w:val="0"/>
          <w:w w:val="100"/>
          <w:position w:val="0"/>
          <w:sz w:val="24"/>
          <w:szCs w:val="24"/>
        </w:rPr>
      </w:pPr>
      <w:r>
        <w:rPr>
          <w:color w:val="000000"/>
          <w:spacing w:val="0"/>
          <w:w w:val="100"/>
          <w:position w:val="0"/>
          <w:sz w:val="24"/>
          <w:szCs w:val="24"/>
        </w:rPr>
        <w:t xml:space="preserve">致上海泛亚航运有限公司 </w:t>
      </w:r>
    </w:p>
    <w:p>
      <w:pPr>
        <w:pStyle w:val="6"/>
        <w:keepNext w:val="0"/>
        <w:keepLines w:val="0"/>
        <w:widowControl w:val="0"/>
        <w:shd w:val="clear" w:color="auto" w:fill="auto"/>
        <w:bidi w:val="0"/>
        <w:spacing w:before="0" w:after="160" w:line="240" w:lineRule="auto"/>
        <w:ind w:left="0" w:right="0" w:firstLine="0"/>
        <w:jc w:val="both"/>
        <w:rPr>
          <w:sz w:val="24"/>
          <w:szCs w:val="24"/>
        </w:rPr>
      </w:pPr>
      <w:r>
        <w:rPr>
          <w:color w:val="000000"/>
          <w:spacing w:val="0"/>
          <w:w w:val="100"/>
          <w:position w:val="0"/>
          <w:sz w:val="24"/>
          <w:szCs w:val="24"/>
        </w:rPr>
        <w:t>中文品名：</w:t>
      </w:r>
    </w:p>
    <w:p>
      <w:pPr>
        <w:pStyle w:val="6"/>
        <w:keepNext w:val="0"/>
        <w:keepLines w:val="0"/>
        <w:widowControl w:val="0"/>
        <w:shd w:val="clear" w:color="auto" w:fill="auto"/>
        <w:bidi w:val="0"/>
        <w:spacing w:before="0" w:after="0" w:line="240" w:lineRule="auto"/>
        <w:ind w:left="0" w:right="0" w:firstLine="0"/>
        <w:jc w:val="both"/>
        <w:rPr>
          <w:color w:val="000000"/>
          <w:spacing w:val="0"/>
          <w:w w:val="100"/>
          <w:position w:val="0"/>
          <w:sz w:val="24"/>
          <w:szCs w:val="24"/>
        </w:rPr>
      </w:pPr>
      <w:r>
        <w:rPr>
          <w:color w:val="000000"/>
          <w:spacing w:val="0"/>
          <w:w w:val="100"/>
          <w:position w:val="0"/>
          <w:sz w:val="24"/>
          <w:szCs w:val="24"/>
        </w:rPr>
        <w:t>产品包装：</w:t>
      </w:r>
    </w:p>
    <w:p>
      <w:pPr>
        <w:pStyle w:val="6"/>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产品外观与性状：</w:t>
      </w:r>
    </w:p>
    <w:p>
      <w:pPr>
        <w:pStyle w:val="6"/>
        <w:keepNext w:val="0"/>
        <w:keepLines w:val="0"/>
        <w:widowControl w:val="0"/>
        <w:shd w:val="clear" w:color="auto" w:fill="auto"/>
        <w:bidi w:val="0"/>
        <w:spacing w:before="0" w:after="0" w:line="425" w:lineRule="exact"/>
        <w:ind w:left="0" w:right="0" w:firstLine="0"/>
        <w:jc w:val="both"/>
        <w:rPr>
          <w:sz w:val="24"/>
          <w:szCs w:val="24"/>
        </w:rPr>
      </w:pPr>
      <w:r>
        <w:rPr>
          <w:color w:val="000000"/>
          <w:spacing w:val="0"/>
          <w:w w:val="100"/>
          <w:position w:val="0"/>
          <w:sz w:val="24"/>
          <w:szCs w:val="24"/>
        </w:rPr>
        <w:t>本产品主要用途：</w:t>
      </w:r>
    </w:p>
    <w:p>
      <w:pPr>
        <w:pStyle w:val="6"/>
        <w:keepNext w:val="0"/>
        <w:keepLines w:val="0"/>
        <w:widowControl w:val="0"/>
        <w:shd w:val="clear" w:color="auto" w:fill="auto"/>
        <w:bidi w:val="0"/>
        <w:spacing w:before="0" w:after="400" w:line="425" w:lineRule="exact"/>
        <w:ind w:left="0" w:right="0" w:firstLine="0"/>
        <w:jc w:val="both"/>
        <w:rPr>
          <w:rFonts w:hint="eastAsia" w:eastAsia="宋体"/>
          <w:color w:val="000000"/>
          <w:spacing w:val="0"/>
          <w:w w:val="100"/>
          <w:position w:val="0"/>
          <w:sz w:val="24"/>
          <w:szCs w:val="24"/>
          <w:lang w:eastAsia="zh-CN"/>
        </w:rPr>
      </w:pPr>
      <w:r>
        <w:rPr>
          <w:color w:val="000000"/>
          <w:spacing w:val="0"/>
          <w:w w:val="100"/>
          <w:position w:val="0"/>
          <w:sz w:val="24"/>
          <w:szCs w:val="24"/>
        </w:rPr>
        <w:t>岀运船名/航次、运单号、箱型、装/卸港信息以实际岀运信息为准</w:t>
      </w:r>
      <w:r>
        <w:rPr>
          <w:rFonts w:hint="eastAsia"/>
          <w:color w:val="000000"/>
          <w:spacing w:val="0"/>
          <w:w w:val="100"/>
          <w:position w:val="0"/>
          <w:sz w:val="24"/>
          <w:szCs w:val="24"/>
          <w:lang w:eastAsia="zh-CN"/>
        </w:rPr>
        <w:t>。</w:t>
      </w:r>
    </w:p>
    <w:p>
      <w:pPr>
        <w:pStyle w:val="5"/>
        <w:ind w:firstLine="480" w:firstLineChars="200"/>
        <w:rPr>
          <w:rFonts w:ascii="Calibri" w:hAnsi="Calibri"/>
          <w:sz w:val="24"/>
          <w:szCs w:val="24"/>
        </w:rPr>
      </w:pPr>
      <w:r>
        <w:rPr>
          <w:rFonts w:hint="eastAsia" w:ascii="Calibri" w:hAnsi="Calibri"/>
          <w:sz w:val="24"/>
          <w:szCs w:val="24"/>
        </w:rPr>
        <w:t>本保函由盖章单位联合向贵司提供，以下盖章单位均为保函提供人，且就本保函承诺事项及保证内容向贵司承担连带责任。</w:t>
      </w:r>
    </w:p>
    <w:p>
      <w:pPr>
        <w:pStyle w:val="5"/>
        <w:rPr>
          <w:rFonts w:ascii="Calibri" w:hAnsi="Calibri" w:cs="Times New Roman"/>
          <w:sz w:val="24"/>
          <w:szCs w:val="24"/>
        </w:rPr>
      </w:pPr>
    </w:p>
    <w:p>
      <w:pPr>
        <w:pStyle w:val="5"/>
        <w:ind w:firstLine="465"/>
        <w:rPr>
          <w:rFonts w:ascii="Calibri" w:hAnsi="Calibri" w:eastAsia="宋体" w:cs="Times New Roman"/>
          <w:color w:val="auto"/>
          <w:kern w:val="2"/>
          <w:sz w:val="24"/>
          <w:szCs w:val="24"/>
        </w:rPr>
      </w:pPr>
      <w:r>
        <w:rPr>
          <w:rFonts w:hint="eastAsia" w:ascii="Calibri" w:hAnsi="Calibri" w:eastAsia="宋体" w:cs="Times New Roman"/>
          <w:color w:val="auto"/>
          <w:kern w:val="2"/>
          <w:sz w:val="24"/>
          <w:szCs w:val="24"/>
        </w:rPr>
        <w:t>就以上所托运的大型石块货物</w:t>
      </w:r>
      <w:r>
        <w:rPr>
          <w:rFonts w:ascii="Calibri" w:hAnsi="Calibri" w:eastAsia="宋体" w:cs="Times New Roman"/>
          <w:color w:val="auto"/>
          <w:kern w:val="2"/>
          <w:sz w:val="24"/>
          <w:szCs w:val="24"/>
        </w:rPr>
        <w:t>，</w:t>
      </w:r>
      <w:r>
        <w:rPr>
          <w:rFonts w:hint="eastAsia" w:ascii="Calibri" w:hAnsi="Calibri"/>
          <w:sz w:val="24"/>
          <w:szCs w:val="24"/>
        </w:rPr>
        <w:t>保函提供人</w:t>
      </w:r>
      <w:r>
        <w:rPr>
          <w:rFonts w:hint="eastAsia" w:ascii="Calibri" w:hAnsi="Calibri" w:eastAsia="宋体" w:cs="Times New Roman"/>
          <w:color w:val="auto"/>
          <w:kern w:val="2"/>
          <w:sz w:val="24"/>
          <w:szCs w:val="24"/>
        </w:rPr>
        <w:t>保证就以上货物所提供的全部信息与文件（包括但不限于大型石块</w:t>
      </w:r>
      <w:r>
        <w:rPr>
          <w:rFonts w:hint="eastAsia" w:ascii="Calibri" w:hAnsi="Calibri"/>
          <w:sz w:val="24"/>
          <w:szCs w:val="24"/>
        </w:rPr>
        <w:t>装箱照片和大型石块在箱内的加固照片，以及独立第三方公司出具的绑扎检验报告）</w:t>
      </w:r>
      <w:r>
        <w:rPr>
          <w:rFonts w:hint="eastAsia" w:ascii="Calibri" w:hAnsi="Calibri" w:eastAsia="宋体" w:cs="Times New Roman"/>
          <w:color w:val="auto"/>
          <w:kern w:val="2"/>
          <w:sz w:val="24"/>
          <w:szCs w:val="24"/>
        </w:rPr>
        <w:t>均真实准确，并同时</w:t>
      </w:r>
      <w:r>
        <w:rPr>
          <w:rFonts w:ascii="Calibri" w:hAnsi="Calibri" w:eastAsia="宋体" w:cs="Times New Roman"/>
          <w:color w:val="auto"/>
          <w:kern w:val="2"/>
          <w:sz w:val="24"/>
          <w:szCs w:val="24"/>
        </w:rPr>
        <w:t>承诺</w:t>
      </w:r>
      <w:r>
        <w:rPr>
          <w:rFonts w:hint="eastAsia" w:ascii="Calibri" w:hAnsi="Calibri" w:eastAsia="宋体" w:cs="Times New Roman"/>
          <w:color w:val="auto"/>
          <w:kern w:val="2"/>
          <w:sz w:val="24"/>
          <w:szCs w:val="24"/>
        </w:rPr>
        <w:t>，针对因</w:t>
      </w:r>
      <w:r>
        <w:rPr>
          <w:rFonts w:hint="eastAsia" w:hAnsi="宋体"/>
          <w:color w:val="3E3E3E"/>
          <w:sz w:val="24"/>
          <w:szCs w:val="24"/>
        </w:rPr>
        <w:t>申报不实或因大型石块货物</w:t>
      </w:r>
      <w:r>
        <w:rPr>
          <w:rFonts w:hint="eastAsia" w:hAnsi="宋体" w:cs="Times New Roman"/>
          <w:bCs/>
          <w:sz w:val="24"/>
          <w:szCs w:val="24"/>
        </w:rPr>
        <w:t>装箱、加固、绑扎不规范所导致的人员伤亡、箱损、货损等情形下的一切风险、责任、费用，均由</w:t>
      </w:r>
      <w:r>
        <w:rPr>
          <w:rFonts w:hint="eastAsia" w:ascii="Calibri" w:hAnsi="Calibri"/>
          <w:sz w:val="24"/>
          <w:szCs w:val="24"/>
        </w:rPr>
        <w:t>保函提供人</w:t>
      </w:r>
      <w:r>
        <w:rPr>
          <w:rFonts w:hint="eastAsia" w:hAnsi="宋体" w:cs="Times New Roman"/>
          <w:bCs/>
          <w:sz w:val="24"/>
          <w:szCs w:val="24"/>
        </w:rPr>
        <w:t>承担</w:t>
      </w:r>
      <w:r>
        <w:rPr>
          <w:rFonts w:ascii="Calibri" w:hAnsi="Calibri" w:eastAsia="宋体" w:cs="Times New Roman"/>
          <w:color w:val="auto"/>
          <w:kern w:val="2"/>
          <w:sz w:val="24"/>
          <w:szCs w:val="24"/>
        </w:rPr>
        <w:t>。</w:t>
      </w:r>
    </w:p>
    <w:p>
      <w:pPr>
        <w:pStyle w:val="5"/>
        <w:ind w:firstLine="465"/>
        <w:rPr>
          <w:rFonts w:ascii="Calibri" w:hAnsi="Calibri" w:eastAsia="宋体" w:cs="Times New Roman"/>
          <w:color w:val="auto"/>
          <w:kern w:val="2"/>
          <w:sz w:val="24"/>
          <w:szCs w:val="24"/>
        </w:rPr>
      </w:pPr>
    </w:p>
    <w:p>
      <w:pPr>
        <w:pStyle w:val="5"/>
        <w:ind w:firstLine="480" w:firstLineChars="200"/>
        <w:rPr>
          <w:rFonts w:hint="eastAsia" w:ascii="Calibri" w:hAnsi="Calibri" w:eastAsia="宋体" w:cs="Times New Roman"/>
          <w:color w:val="auto"/>
          <w:kern w:val="2"/>
          <w:sz w:val="24"/>
          <w:szCs w:val="24"/>
        </w:rPr>
      </w:pPr>
      <w:r>
        <w:rPr>
          <w:rFonts w:hint="eastAsia" w:ascii="Calibri" w:hAnsi="Calibri" w:eastAsia="宋体" w:cs="Times New Roman"/>
          <w:color w:val="auto"/>
          <w:kern w:val="2"/>
          <w:sz w:val="24"/>
          <w:szCs w:val="24"/>
        </w:rPr>
        <w:t>贵司有权保留依据本保函及有关法律及港口等有关部门的规定向保函提供人追究法律责任的权力。所有责任与相关费用由保函提供人承担！</w:t>
      </w:r>
    </w:p>
    <w:p>
      <w:pPr>
        <w:pStyle w:val="5"/>
        <w:ind w:firstLine="480" w:firstLineChars="200"/>
        <w:rPr>
          <w:rFonts w:hint="eastAsia" w:ascii="Calibri" w:hAnsi="Calibri" w:eastAsia="宋体" w:cs="Times New Roman"/>
          <w:color w:val="auto"/>
          <w:kern w:val="2"/>
          <w:sz w:val="24"/>
          <w:szCs w:val="24"/>
        </w:rPr>
      </w:pPr>
    </w:p>
    <w:p>
      <w:pPr>
        <w:pStyle w:val="5"/>
        <w:ind w:firstLine="480" w:firstLineChars="200"/>
        <w:rPr>
          <w:rFonts w:hint="eastAsia" w:ascii="Calibri" w:hAnsi="Calibri" w:eastAsia="宋体" w:cs="Times New Roman"/>
          <w:color w:val="auto"/>
          <w:kern w:val="2"/>
          <w:sz w:val="24"/>
          <w:szCs w:val="24"/>
        </w:rPr>
      </w:pPr>
      <w:r>
        <w:rPr>
          <w:rFonts w:hint="eastAsia" w:ascii="Calibri" w:hAnsi="Calibri" w:eastAsia="宋体" w:cs="Times New Roman"/>
          <w:color w:val="auto"/>
          <w:kern w:val="2"/>
          <w:sz w:val="24"/>
          <w:szCs w:val="24"/>
        </w:rPr>
        <w:t>保函有效期：202</w:t>
      </w:r>
      <w:r>
        <w:rPr>
          <w:rFonts w:hint="eastAsia" w:ascii="Calibri" w:hAnsi="Calibri" w:eastAsia="宋体" w:cs="Times New Roman"/>
          <w:color w:val="auto"/>
          <w:kern w:val="2"/>
          <w:sz w:val="24"/>
          <w:szCs w:val="24"/>
          <w:lang w:val="en-US" w:eastAsia="zh-CN"/>
        </w:rPr>
        <w:t>1</w:t>
      </w:r>
      <w:r>
        <w:rPr>
          <w:rFonts w:hint="eastAsia" w:ascii="Calibri" w:hAnsi="Calibri" w:eastAsia="宋体" w:cs="Times New Roman"/>
          <w:color w:val="auto"/>
          <w:kern w:val="2"/>
          <w:sz w:val="24"/>
          <w:szCs w:val="24"/>
        </w:rPr>
        <w:t>年   月   日至202</w:t>
      </w:r>
      <w:r>
        <w:rPr>
          <w:rFonts w:hint="eastAsia" w:ascii="Calibri" w:hAnsi="Calibri" w:eastAsia="宋体" w:cs="Times New Roman"/>
          <w:color w:val="auto"/>
          <w:kern w:val="2"/>
          <w:sz w:val="24"/>
          <w:szCs w:val="24"/>
          <w:lang w:val="en-US" w:eastAsia="zh-CN"/>
        </w:rPr>
        <w:t>1</w:t>
      </w:r>
      <w:r>
        <w:rPr>
          <w:rFonts w:hint="eastAsia" w:ascii="Calibri" w:hAnsi="Calibri" w:eastAsia="宋体" w:cs="Times New Roman"/>
          <w:color w:val="auto"/>
          <w:kern w:val="2"/>
          <w:sz w:val="24"/>
          <w:szCs w:val="24"/>
        </w:rPr>
        <w:t>年   月   日(有效期在一个季度内)</w:t>
      </w:r>
    </w:p>
    <w:p>
      <w:pPr>
        <w:pStyle w:val="5"/>
        <w:ind w:firstLine="480" w:firstLineChars="200"/>
        <w:rPr>
          <w:rFonts w:hint="eastAsia" w:ascii="Calibri" w:hAnsi="Calibri" w:eastAsia="宋体" w:cs="Times New Roman"/>
          <w:color w:val="auto"/>
          <w:kern w:val="2"/>
          <w:sz w:val="24"/>
          <w:szCs w:val="24"/>
          <w:lang w:eastAsia="zh-CN"/>
        </w:rPr>
      </w:pPr>
      <w:r>
        <w:rPr>
          <w:rFonts w:hint="eastAsia" w:ascii="Calibri" w:hAnsi="Calibri" w:eastAsia="宋体" w:cs="Times New Roman"/>
          <w:color w:val="auto"/>
          <w:kern w:val="2"/>
          <w:sz w:val="24"/>
          <w:szCs w:val="24"/>
          <w:lang w:eastAsia="zh-CN"/>
        </w:rPr>
        <w:object>
          <v:shape id="_x0000_i1025" o:spt="75" type="#_x0000_t75" style="height:66pt;width:72.75pt;" o:ole="t" filled="f" o:preferrelative="t" stroked="f" coordsize="21600,21600">
            <v:fill on="f" focussize="0,0"/>
            <v:stroke on="f"/>
            <v:imagedata r:id="rId7" o:title=""/>
            <o:lock v:ext="edit" aspectratio="t"/>
            <w10:wrap type="none"/>
            <w10:anchorlock/>
          </v:shape>
          <o:OLEObject Type="Embed" ProgID="Package" ShapeID="_x0000_i1025" DrawAspect="Icon" ObjectID="_1468075725" r:id="rId6">
            <o:LockedField>false</o:LockedField>
          </o:OLEObject>
        </w:object>
      </w:r>
    </w:p>
    <w:p>
      <w:pPr>
        <w:pStyle w:val="5"/>
        <w:ind w:firstLine="480" w:firstLineChars="200"/>
        <w:rPr>
          <w:rFonts w:hint="eastAsia" w:ascii="Calibri" w:hAnsi="Calibri" w:eastAsia="宋体" w:cs="Times New Roman"/>
          <w:color w:val="auto"/>
          <w:kern w:val="2"/>
          <w:sz w:val="24"/>
          <w:szCs w:val="24"/>
        </w:rPr>
      </w:pPr>
    </w:p>
    <w:p>
      <w:pPr>
        <w:rPr>
          <w:rFonts w:hint="eastAsia" w:eastAsia="宋体"/>
          <w:sz w:val="24"/>
          <w:szCs w:val="24"/>
          <w:lang w:val="en-US" w:eastAsia="zh-CN"/>
        </w:rPr>
      </w:pPr>
      <w:r>
        <w:rPr>
          <w:rFonts w:hint="eastAsia" w:eastAsia="宋体"/>
          <w:sz w:val="24"/>
          <w:szCs w:val="24"/>
          <w:lang w:val="en-US" w:eastAsia="zh-CN"/>
        </w:rPr>
        <w:t>货代（公章）：                                 托运人（公章）：</w:t>
      </w:r>
    </w:p>
    <w:p>
      <w:pPr>
        <w:rPr>
          <w:rFonts w:hint="eastAsia" w:eastAsia="宋体"/>
          <w:sz w:val="24"/>
          <w:szCs w:val="24"/>
          <w:lang w:val="en-US" w:eastAsia="zh-CN"/>
        </w:rPr>
      </w:pPr>
    </w:p>
    <w:p>
      <w:pPr>
        <w:rPr>
          <w:rFonts w:hint="eastAsia" w:eastAsia="宋体"/>
          <w:sz w:val="24"/>
          <w:szCs w:val="24"/>
          <w:lang w:val="en-US" w:eastAsia="zh-CN"/>
        </w:rPr>
      </w:pPr>
      <w:r>
        <w:rPr>
          <w:rFonts w:hint="eastAsia" w:eastAsia="宋体"/>
          <w:sz w:val="24"/>
          <w:szCs w:val="24"/>
          <w:lang w:val="en-US" w:eastAsia="zh-CN"/>
        </w:rPr>
        <w:t xml:space="preserve">                                               年  月  日</w:t>
      </w: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spacing w:line="240" w:lineRule="auto"/>
        <w:jc w:val="center"/>
        <w:rPr>
          <w:spacing w:val="10"/>
          <w:sz w:val="36"/>
        </w:rPr>
      </w:pPr>
      <w:r>
        <w:rPr>
          <w:rFonts w:hint="eastAsia"/>
          <w:spacing w:val="10"/>
          <w:sz w:val="36"/>
        </w:rPr>
        <w:t>上海泛亚航运有限公司</w:t>
      </w:r>
    </w:p>
    <w:p>
      <w:pPr>
        <w:rPr>
          <w:rFonts w:hint="eastAsia" w:asciiTheme="minorEastAsia" w:hAnsiTheme="minorEastAsia" w:eastAsiaTheme="minorEastAsia"/>
          <w:sz w:val="44"/>
          <w:szCs w:val="44"/>
        </w:rPr>
      </w:pPr>
      <w:r>
        <w:rPr>
          <w:rFonts w:hint="eastAsia" w:asciiTheme="minorEastAsia" w:hAnsiTheme="minorEastAsia" w:eastAsiaTheme="minorEastAsia"/>
          <w:sz w:val="44"/>
          <w:szCs w:val="44"/>
        </w:rPr>
        <w:t>大型块状石材货物集装箱安全运输须知</w:t>
      </w:r>
    </w:p>
    <w:p>
      <w:pPr>
        <w:rPr>
          <w:rFonts w:hint="eastAsia" w:asciiTheme="minorEastAsia" w:hAnsiTheme="minorEastAsia" w:eastAsiaTheme="minorEastAsia"/>
          <w:sz w:val="44"/>
          <w:szCs w:val="44"/>
        </w:rPr>
      </w:pP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一）目的和范围</w:t>
      </w: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大型块状石材货物单件重量大、易于在运输途中滑动。如果操作不当、容易造成安全隐患。为了承运人及相关方安全操作大型块状石材货物，特此制定如下三个阶段的操作须知。</w:t>
      </w:r>
    </w:p>
    <w:p>
      <w:pPr>
        <w:widowControl/>
        <w:shd w:val="clear" w:color="auto" w:fill="FFFFFF"/>
        <w:spacing w:before="100" w:beforeAutospacing="1" w:after="100" w:afterAutospacing="1"/>
        <w:contextualSpacing/>
        <w:jc w:val="left"/>
        <w:rPr>
          <w:rFonts w:ascii="宋体" w:hAnsi="宋体" w:cs="宋体"/>
          <w:color w:val="3E3E3E"/>
          <w:szCs w:val="21"/>
        </w:rPr>
      </w:pP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二）操作须知：</w:t>
      </w:r>
    </w:p>
    <w:p>
      <w:pPr>
        <w:widowControl/>
        <w:shd w:val="clear" w:color="auto" w:fill="FFFFFF"/>
        <w:spacing w:before="100" w:beforeAutospacing="1" w:after="100" w:afterAutospacing="1"/>
        <w:contextualSpacing/>
        <w:jc w:val="left"/>
        <w:rPr>
          <w:rFonts w:ascii="宋体" w:hAnsi="宋体" w:cs="宋体"/>
          <w:color w:val="3E3E3E"/>
          <w:szCs w:val="21"/>
        </w:rPr>
      </w:pP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在定舱阶段：</w:t>
      </w:r>
    </w:p>
    <w:p>
      <w:pPr>
        <w:widowControl/>
        <w:numPr>
          <w:ilvl w:val="0"/>
          <w:numId w:val="1"/>
        </w:numPr>
        <w:shd w:val="clear" w:color="auto" w:fill="FFFFFF"/>
        <w:adjustRightInd/>
        <w:spacing w:before="100" w:beforeAutospacing="1" w:after="100" w:afterAutospacing="1" w:line="240" w:lineRule="auto"/>
        <w:contextualSpacing/>
        <w:jc w:val="left"/>
        <w:textAlignment w:val="auto"/>
        <w:rPr>
          <w:rFonts w:ascii="宋体" w:hAnsi="宋体" w:cs="宋体"/>
          <w:color w:val="3E3E3E"/>
          <w:szCs w:val="21"/>
        </w:rPr>
      </w:pPr>
      <w:r>
        <w:rPr>
          <w:rFonts w:hint="eastAsia" w:ascii="宋体" w:hAnsi="宋体" w:cs="宋体"/>
          <w:color w:val="3E3E3E"/>
          <w:szCs w:val="21"/>
        </w:rPr>
        <w:t>请发货人方提供大型块状石材货物装箱照片和大型块状石材货物在箱内的加固照片，并且需要提供独立第三方公司出具的绑扎检验报告（比如CCS，BV等）。</w:t>
      </w:r>
    </w:p>
    <w:p>
      <w:pPr>
        <w:widowControl/>
        <w:numPr>
          <w:ilvl w:val="0"/>
          <w:numId w:val="1"/>
        </w:numPr>
        <w:shd w:val="clear" w:color="auto" w:fill="FFFFFF"/>
        <w:adjustRightInd/>
        <w:spacing w:before="100" w:beforeAutospacing="1" w:after="100" w:afterAutospacing="1" w:line="240" w:lineRule="auto"/>
        <w:contextualSpacing/>
        <w:jc w:val="left"/>
        <w:textAlignment w:val="auto"/>
        <w:rPr>
          <w:rFonts w:ascii="宋体" w:hAnsi="宋体" w:cs="宋体"/>
          <w:color w:val="3E3E3E"/>
          <w:szCs w:val="21"/>
        </w:rPr>
      </w:pPr>
      <w:r>
        <w:rPr>
          <w:rFonts w:hint="eastAsia" w:ascii="宋体" w:hAnsi="宋体" w:cs="宋体"/>
          <w:color w:val="3E3E3E"/>
          <w:szCs w:val="21"/>
        </w:rPr>
        <w:t>请发货人方提供保函（具体格式参附件1），确认承担由于申报不实或大型块状石材货物</w:t>
      </w:r>
      <w:r>
        <w:rPr>
          <w:rFonts w:hint="eastAsia" w:ascii="宋体" w:hAnsi="宋体"/>
          <w:bCs/>
          <w:szCs w:val="21"/>
        </w:rPr>
        <w:t>装箱、加固、绑扎不规范导致的人员伤亡、箱损、货损、船损、码头损等一切风险、责任、费用均由发货人承担。</w:t>
      </w:r>
    </w:p>
    <w:p>
      <w:pPr>
        <w:widowControl/>
        <w:shd w:val="clear" w:color="auto" w:fill="FFFFFF"/>
        <w:adjustRightInd/>
        <w:spacing w:before="100" w:beforeAutospacing="1" w:after="100" w:afterAutospacing="1" w:line="240" w:lineRule="auto"/>
        <w:ind w:left="720"/>
        <w:contextualSpacing/>
        <w:jc w:val="left"/>
        <w:textAlignment w:val="auto"/>
        <w:rPr>
          <w:rFonts w:ascii="宋体" w:hAnsi="宋体" w:cs="宋体"/>
          <w:color w:val="3E3E3E"/>
          <w:szCs w:val="21"/>
        </w:rPr>
      </w:pP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提箱阶段:</w:t>
      </w: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1,</w:t>
      </w:r>
      <w:r>
        <w:rPr>
          <w:rFonts w:hint="eastAsia" w:ascii="宋体" w:hAnsi="宋体" w:cs="宋体"/>
          <w:color w:val="3E3E3E"/>
          <w:szCs w:val="21"/>
        </w:rPr>
        <w:tab/>
      </w:r>
      <w:r>
        <w:rPr>
          <w:rFonts w:hint="eastAsia" w:ascii="宋体" w:hAnsi="宋体" w:cs="宋体"/>
          <w:color w:val="3E3E3E"/>
          <w:szCs w:val="21"/>
        </w:rPr>
        <w:tab/>
      </w:r>
      <w:r>
        <w:rPr>
          <w:rFonts w:hint="eastAsia" w:ascii="宋体" w:hAnsi="宋体" w:cs="宋体"/>
          <w:color w:val="3E3E3E"/>
          <w:szCs w:val="21"/>
        </w:rPr>
        <w:t>请发货人首选框架箱装载大型块状石材货物。</w:t>
      </w:r>
    </w:p>
    <w:p>
      <w:pPr>
        <w:widowControl/>
        <w:shd w:val="clear" w:color="auto" w:fill="FFFFFF"/>
        <w:spacing w:before="100" w:beforeAutospacing="1" w:after="100" w:afterAutospacing="1"/>
        <w:contextualSpacing/>
        <w:jc w:val="left"/>
        <w:rPr>
          <w:rFonts w:asciiTheme="minorEastAsia" w:hAnsiTheme="minorEastAsia"/>
          <w:szCs w:val="21"/>
        </w:rPr>
      </w:pPr>
      <w:r>
        <w:rPr>
          <w:rFonts w:hint="eastAsia" w:ascii="宋体" w:hAnsi="宋体" w:cs="宋体"/>
          <w:color w:val="3E3E3E"/>
          <w:szCs w:val="21"/>
        </w:rPr>
        <w:t>2，     对于短缺框架箱的口岸，请发货人通知其堆场或车队在提20OT干货开顶空箱（</w:t>
      </w:r>
      <w:r>
        <w:rPr>
          <w:rFonts w:hint="eastAsia" w:asciiTheme="minorEastAsia" w:hAnsiTheme="minorEastAsia"/>
          <w:szCs w:val="21"/>
        </w:rPr>
        <w:t>符</w:t>
      </w:r>
    </w:p>
    <w:p>
      <w:pPr>
        <w:widowControl/>
        <w:shd w:val="clear" w:color="auto" w:fill="FFFFFF"/>
        <w:spacing w:before="100" w:beforeAutospacing="1" w:after="100" w:afterAutospacing="1"/>
        <w:ind w:firstLine="960" w:firstLineChars="400"/>
        <w:contextualSpacing/>
        <w:jc w:val="left"/>
        <w:rPr>
          <w:rFonts w:ascii="宋体" w:hAnsi="宋体" w:cs="宋体"/>
          <w:color w:val="3E3E3E"/>
          <w:szCs w:val="21"/>
        </w:rPr>
      </w:pPr>
      <w:r>
        <w:rPr>
          <w:rFonts w:hint="eastAsia" w:asciiTheme="minorEastAsia" w:hAnsiTheme="minorEastAsia"/>
          <w:szCs w:val="21"/>
        </w:rPr>
        <w:t>合GB/T1413-2008标准）</w:t>
      </w:r>
      <w:r>
        <w:rPr>
          <w:rFonts w:hint="eastAsia" w:ascii="宋体" w:hAnsi="宋体" w:cs="宋体"/>
          <w:color w:val="3E3E3E"/>
          <w:szCs w:val="21"/>
        </w:rPr>
        <w:t>时一定要注意检查箱况，挑选成色新、箱况好的集箱装载</w:t>
      </w:r>
    </w:p>
    <w:p>
      <w:pPr>
        <w:widowControl/>
        <w:shd w:val="clear" w:color="auto" w:fill="FFFFFF"/>
        <w:spacing w:before="100" w:beforeAutospacing="1" w:after="100" w:afterAutospacing="1"/>
        <w:ind w:firstLine="960" w:firstLineChars="400"/>
        <w:contextualSpacing/>
        <w:jc w:val="left"/>
        <w:rPr>
          <w:rFonts w:ascii="宋体" w:hAnsi="宋体" w:cs="宋体"/>
          <w:color w:val="3E3E3E"/>
          <w:szCs w:val="21"/>
        </w:rPr>
      </w:pPr>
      <w:r>
        <w:rPr>
          <w:rFonts w:hint="eastAsia" w:ascii="宋体" w:hAnsi="宋体" w:cs="宋体"/>
          <w:color w:val="3E3E3E"/>
          <w:szCs w:val="21"/>
        </w:rPr>
        <w:t>大型块状石材货物。</w:t>
      </w:r>
    </w:p>
    <w:p>
      <w:pPr>
        <w:widowControl/>
        <w:shd w:val="clear" w:color="auto" w:fill="FFFFFF"/>
        <w:spacing w:before="100" w:beforeAutospacing="1" w:after="100" w:afterAutospacing="1"/>
        <w:ind w:left="420" w:firstLine="420"/>
        <w:contextualSpacing/>
        <w:jc w:val="left"/>
        <w:rPr>
          <w:rFonts w:ascii="宋体" w:hAnsi="宋体" w:cs="宋体"/>
          <w:color w:val="3E3E3E"/>
          <w:szCs w:val="21"/>
        </w:rPr>
      </w:pP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装箱阶段：</w:t>
      </w: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装箱阶段的大型块状石材货物如何科学合理地铺垫、绑扎、加固是保障运输质量及避免安全隐患的关键。</w:t>
      </w:r>
    </w:p>
    <w:p>
      <w:pPr>
        <w:widowControl/>
        <w:numPr>
          <w:ilvl w:val="0"/>
          <w:numId w:val="2"/>
        </w:numPr>
        <w:shd w:val="clear" w:color="auto" w:fill="FFFFFF"/>
        <w:adjustRightInd/>
        <w:spacing w:before="100" w:beforeAutospacing="1" w:after="100" w:afterAutospacing="1" w:line="240" w:lineRule="auto"/>
        <w:contextualSpacing/>
        <w:jc w:val="left"/>
        <w:textAlignment w:val="auto"/>
        <w:rPr>
          <w:rFonts w:ascii="宋体" w:hAnsi="宋体" w:cs="宋体"/>
          <w:color w:val="3E3E3E"/>
          <w:szCs w:val="21"/>
        </w:rPr>
      </w:pPr>
      <w:r>
        <w:rPr>
          <w:rFonts w:hint="eastAsia" w:ascii="宋体" w:hAnsi="宋体" w:cs="宋体"/>
          <w:color w:val="3E3E3E"/>
          <w:szCs w:val="21"/>
        </w:rPr>
        <w:t>发货人一定要选用正规、合格、合理的铺垫、绑扎、加固材料。千万不能为了节省成本</w:t>
      </w:r>
    </w:p>
    <w:p>
      <w:pPr>
        <w:widowControl/>
        <w:shd w:val="clear" w:color="auto" w:fill="FFFFFF"/>
        <w:adjustRightInd/>
        <w:spacing w:before="100" w:beforeAutospacing="1" w:after="100" w:afterAutospacing="1" w:line="240" w:lineRule="auto"/>
        <w:ind w:left="720"/>
        <w:contextualSpacing/>
        <w:jc w:val="left"/>
        <w:textAlignment w:val="auto"/>
        <w:rPr>
          <w:rFonts w:ascii="宋体" w:hAnsi="宋体" w:cs="宋体"/>
          <w:color w:val="3E3E3E"/>
          <w:szCs w:val="21"/>
        </w:rPr>
      </w:pPr>
      <w:r>
        <w:rPr>
          <w:rFonts w:hint="eastAsia" w:ascii="宋体" w:hAnsi="宋体" w:cs="宋体"/>
          <w:color w:val="3E3E3E"/>
          <w:szCs w:val="21"/>
        </w:rPr>
        <w:t>使用劣质材料导致后续的安全隐患。</w:t>
      </w:r>
    </w:p>
    <w:p>
      <w:pPr>
        <w:widowControl/>
        <w:shd w:val="clear" w:color="auto" w:fill="FFFFFF"/>
        <w:adjustRightInd/>
        <w:spacing w:before="100" w:beforeAutospacing="1" w:after="100" w:afterAutospacing="1" w:line="240" w:lineRule="auto"/>
        <w:ind w:left="720"/>
        <w:contextualSpacing/>
        <w:jc w:val="left"/>
        <w:textAlignment w:val="auto"/>
        <w:rPr>
          <w:rFonts w:ascii="宋体" w:hAnsi="宋体" w:cs="宋体"/>
          <w:color w:val="3E3E3E"/>
          <w:szCs w:val="21"/>
        </w:rPr>
      </w:pPr>
    </w:p>
    <w:p>
      <w:pPr>
        <w:widowControl/>
        <w:shd w:val="clear" w:color="auto" w:fill="FFFFFF"/>
        <w:spacing w:before="100" w:beforeAutospacing="1" w:after="100" w:afterAutospacing="1"/>
        <w:ind w:left="720"/>
        <w:contextualSpacing/>
        <w:jc w:val="left"/>
        <w:rPr>
          <w:rFonts w:ascii="宋体" w:hAnsi="宋体" w:cs="宋体"/>
          <w:color w:val="3E3E3E"/>
          <w:szCs w:val="21"/>
        </w:rPr>
      </w:pPr>
      <w:r>
        <w:rPr>
          <w:rFonts w:ascii="宋体" w:hAnsi="宋体" w:cs="宋体"/>
          <w:color w:val="3E3E3E"/>
          <w:szCs w:val="21"/>
        </w:rPr>
        <w:drawing>
          <wp:inline distT="0" distB="0" distL="0" distR="0">
            <wp:extent cx="4908550" cy="2911475"/>
            <wp:effectExtent l="0" t="0" r="6350"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08550" cy="2911475"/>
                    </a:xfrm>
                    <a:prstGeom prst="rect">
                      <a:avLst/>
                    </a:prstGeom>
                    <a:noFill/>
                    <a:ln>
                      <a:noFill/>
                    </a:ln>
                  </pic:spPr>
                </pic:pic>
              </a:graphicData>
            </a:graphic>
          </wp:inline>
        </w:drawing>
      </w:r>
    </w:p>
    <w:p>
      <w:pPr>
        <w:widowControl/>
        <w:shd w:val="clear" w:color="auto" w:fill="FFFFFF"/>
        <w:spacing w:before="100" w:beforeAutospacing="1" w:after="100" w:afterAutospacing="1"/>
        <w:contextualSpacing/>
        <w:jc w:val="left"/>
        <w:rPr>
          <w:rFonts w:ascii="宋体" w:hAnsi="宋体" w:cs="宋体"/>
          <w:color w:val="3E3E3E"/>
          <w:szCs w:val="21"/>
        </w:rPr>
      </w:pPr>
      <w:r>
        <w:rPr>
          <w:rFonts w:hint="eastAsia" w:ascii="宋体" w:hAnsi="宋体" w:cs="宋体"/>
          <w:color w:val="3E3E3E"/>
          <w:szCs w:val="21"/>
        </w:rPr>
        <w:t xml:space="preserve">      注：如箱内绑扎大型块状石材使用钢丝绳，建议使用直径不小于14MM的钢丝绳。</w:t>
      </w:r>
    </w:p>
    <w:p>
      <w:pPr>
        <w:widowControl/>
        <w:shd w:val="clear" w:color="auto" w:fill="FFFFFF"/>
        <w:spacing w:before="100" w:beforeAutospacing="1" w:after="100" w:afterAutospacing="1"/>
        <w:contextualSpacing/>
        <w:jc w:val="left"/>
        <w:rPr>
          <w:rFonts w:ascii="宋体" w:hAnsi="宋体" w:cs="宋体"/>
          <w:color w:val="3E3E3E"/>
          <w:szCs w:val="21"/>
        </w:rPr>
      </w:pPr>
    </w:p>
    <w:p>
      <w:pPr>
        <w:widowControl/>
        <w:numPr>
          <w:ilvl w:val="0"/>
          <w:numId w:val="2"/>
        </w:numPr>
        <w:shd w:val="clear" w:color="auto" w:fill="FFFFFF"/>
        <w:adjustRightInd/>
        <w:spacing w:before="100" w:beforeAutospacing="1" w:after="100" w:afterAutospacing="1" w:line="240" w:lineRule="auto"/>
        <w:contextualSpacing/>
        <w:jc w:val="left"/>
        <w:textAlignment w:val="auto"/>
        <w:rPr>
          <w:rFonts w:ascii="宋体" w:hAnsi="宋体" w:cs="宋体"/>
          <w:color w:val="3E3E3E"/>
          <w:szCs w:val="21"/>
        </w:rPr>
      </w:pPr>
      <w:r>
        <w:rPr>
          <w:rFonts w:hint="eastAsia" w:ascii="宋体" w:hAnsi="宋体" w:cs="宋体"/>
          <w:color w:val="3E3E3E"/>
          <w:szCs w:val="21"/>
        </w:rPr>
        <w:t>集装箱作为承运容器其最大安全载荷、底板、箱底横梁、箱内绑扎铃环及箱壁的安全负荷都是有限度的。发货人在装箱时一定要注意避免超指标装载。</w:t>
      </w:r>
    </w:p>
    <w:p>
      <w:pPr>
        <w:widowControl/>
        <w:shd w:val="clear" w:color="auto" w:fill="FFFFFF"/>
        <w:spacing w:before="100" w:beforeAutospacing="1" w:after="100" w:afterAutospacing="1"/>
        <w:ind w:left="720"/>
        <w:contextualSpacing/>
        <w:jc w:val="left"/>
        <w:rPr>
          <w:rFonts w:ascii="宋体" w:hAnsi="宋体" w:cs="宋体"/>
          <w:color w:val="3E3E3E"/>
          <w:szCs w:val="21"/>
        </w:rPr>
      </w:pPr>
    </w:p>
    <w:p>
      <w:pPr>
        <w:widowControl/>
        <w:shd w:val="clear" w:color="auto" w:fill="FFFFFF"/>
        <w:spacing w:before="100" w:beforeAutospacing="1" w:after="100" w:afterAutospacing="1"/>
        <w:ind w:left="1543" w:leftChars="343" w:hanging="720" w:hangingChars="300"/>
        <w:contextualSpacing/>
        <w:jc w:val="left"/>
        <w:rPr>
          <w:rFonts w:ascii="宋体" w:hAnsi="宋体" w:cs="宋体"/>
          <w:color w:val="3E3E3E"/>
          <w:szCs w:val="21"/>
        </w:rPr>
      </w:pPr>
      <w:r>
        <w:rPr>
          <w:rFonts w:hint="eastAsia" w:ascii="宋体" w:hAnsi="宋体" w:cs="宋体"/>
          <w:color w:val="3E3E3E"/>
          <w:szCs w:val="21"/>
        </w:rPr>
        <w:t>A：  20OT干货开顶箱的最大安全载荷是28.19吨左右，考虑到金属疲劳导致的旧箱还有一定比例的强度折扣，所以20OT干货开顶箱接载大型块状石材货物总重量不能超过26吨。</w:t>
      </w:r>
    </w:p>
    <w:p>
      <w:pPr>
        <w:widowControl/>
        <w:shd w:val="clear" w:color="auto" w:fill="FFFFFF"/>
        <w:spacing w:before="100" w:beforeAutospacing="1" w:after="100" w:afterAutospacing="1"/>
        <w:ind w:left="1560" w:leftChars="400" w:hanging="600" w:hangingChars="250"/>
        <w:contextualSpacing/>
        <w:jc w:val="left"/>
        <w:rPr>
          <w:rFonts w:ascii="宋体" w:hAnsi="宋体" w:cs="宋体"/>
          <w:color w:val="3E3E3E"/>
          <w:szCs w:val="21"/>
        </w:rPr>
      </w:pPr>
    </w:p>
    <w:p>
      <w:pPr>
        <w:widowControl/>
        <w:shd w:val="clear" w:color="auto" w:fill="FFFFFF"/>
        <w:spacing w:before="100" w:beforeAutospacing="1" w:after="100" w:afterAutospacing="1"/>
        <w:ind w:left="1560" w:leftChars="400" w:hanging="600" w:hangingChars="250"/>
        <w:contextualSpacing/>
        <w:jc w:val="left"/>
        <w:rPr>
          <w:rFonts w:ascii="宋体" w:hAnsi="宋体" w:cs="宋体"/>
          <w:color w:val="3E3E3E"/>
          <w:szCs w:val="21"/>
        </w:rPr>
      </w:pPr>
      <w:r>
        <w:rPr>
          <w:rFonts w:hint="eastAsia" w:ascii="宋体" w:hAnsi="宋体" w:cs="宋体"/>
          <w:color w:val="3E3E3E"/>
          <w:szCs w:val="21"/>
        </w:rPr>
        <w:t>B:   20OT干货开顶箱的最大安全载荷是28.19吨，其内面积是13.872平方米，也就是说其底板的安全负荷是每平方米仅2.032吨。考虑到金属及木板疲劳导致的旧箱强度折扣，所以20OT干货开顶箱的最大安全负荷绝对不能超每平方米2吨。</w:t>
      </w:r>
    </w:p>
    <w:p>
      <w:pPr>
        <w:widowControl/>
        <w:shd w:val="clear" w:color="auto" w:fill="FFFFFF"/>
        <w:spacing w:before="100" w:beforeAutospacing="1" w:after="100" w:afterAutospacing="1"/>
        <w:ind w:left="1440"/>
        <w:contextualSpacing/>
        <w:jc w:val="left"/>
        <w:rPr>
          <w:rFonts w:ascii="宋体" w:hAnsi="宋体" w:cs="宋体"/>
          <w:color w:val="3E3E3E"/>
          <w:szCs w:val="21"/>
        </w:rPr>
      </w:pPr>
      <w:r>
        <w:rPr>
          <w:rFonts w:hint="eastAsia" w:ascii="宋体" w:hAnsi="宋体" w:cs="宋体"/>
          <w:color w:val="3E3E3E"/>
          <w:szCs w:val="21"/>
        </w:rPr>
        <w:t>大型块状石材货物装箱绝对不允许将大型块状石材货物直接接触箱底板，必须使用钢制或木制衬垫以扩大与箱底板的接触面积才能使得安全负荷小于要求的每平方米2吨。</w:t>
      </w:r>
    </w:p>
    <w:p>
      <w:pPr>
        <w:widowControl/>
        <w:shd w:val="clear" w:color="auto" w:fill="FFFFFF"/>
        <w:spacing w:before="100" w:beforeAutospacing="1" w:after="100" w:afterAutospacing="1"/>
        <w:ind w:left="1440"/>
        <w:contextualSpacing/>
        <w:jc w:val="left"/>
        <w:rPr>
          <w:rFonts w:ascii="宋体" w:hAnsi="宋体" w:cs="宋体"/>
          <w:color w:val="3E3E3E"/>
          <w:szCs w:val="21"/>
        </w:rPr>
      </w:pPr>
    </w:p>
    <w:p>
      <w:pPr>
        <w:ind w:left="420" w:firstLine="420"/>
        <w:rPr>
          <w:rFonts w:asciiTheme="minorEastAsia" w:hAnsiTheme="minorEastAsia"/>
          <w:szCs w:val="21"/>
        </w:rPr>
      </w:pPr>
      <w:r>
        <w:rPr>
          <w:rFonts w:hint="eastAsia" w:ascii="宋体" w:hAnsi="宋体" w:cs="宋体"/>
          <w:color w:val="3E3E3E"/>
          <w:szCs w:val="21"/>
        </w:rPr>
        <w:t xml:space="preserve">C:   </w:t>
      </w:r>
      <w:r>
        <w:rPr>
          <w:rFonts w:hint="eastAsia" w:asciiTheme="minorEastAsia" w:hAnsiTheme="minorEastAsia"/>
          <w:szCs w:val="21"/>
        </w:rPr>
        <w:t>请务必确保大型块状石材货物在集装箱内纵向中轴线上积载，纵向平均分配重量、</w:t>
      </w:r>
    </w:p>
    <w:p>
      <w:pPr>
        <w:ind w:left="420" w:firstLine="1080" w:firstLineChars="450"/>
        <w:rPr>
          <w:rFonts w:asciiTheme="minorEastAsia" w:hAnsiTheme="minorEastAsia"/>
          <w:szCs w:val="21"/>
        </w:rPr>
      </w:pPr>
      <w:r>
        <w:rPr>
          <w:rFonts w:hint="eastAsia" w:asciiTheme="minorEastAsia" w:hAnsiTheme="minorEastAsia"/>
          <w:szCs w:val="21"/>
        </w:rPr>
        <w:t>合理衬垫、绑扎。坚决避免箱内积载大型块状石材货物直接接触集装箱箱底板。</w:t>
      </w:r>
    </w:p>
    <w:p>
      <w:pPr>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rPr>
        <w:tab/>
      </w:r>
      <w:r>
        <w:rPr>
          <w:rFonts w:hint="eastAsia" w:asciiTheme="minorEastAsia" w:hAnsiTheme="minorEastAsia"/>
          <w:szCs w:val="21"/>
        </w:rPr>
        <w:t xml:space="preserve"> 通过合理衬垫、扩大衬垫与集装箱箱底板间的接触面积确保大型块状石材货物给</w:t>
      </w:r>
    </w:p>
    <w:p>
      <w:pPr>
        <w:ind w:firstLine="1560" w:firstLineChars="650"/>
        <w:rPr>
          <w:rFonts w:asciiTheme="minorEastAsia" w:hAnsiTheme="minorEastAsia"/>
          <w:szCs w:val="21"/>
        </w:rPr>
      </w:pPr>
      <w:r>
        <w:rPr>
          <w:rFonts w:hint="eastAsia" w:asciiTheme="minorEastAsia" w:hAnsiTheme="minorEastAsia"/>
          <w:szCs w:val="21"/>
        </w:rPr>
        <w:t>集装箱箱底板的负荷（压强）不超过每平方米2吨。</w:t>
      </w:r>
    </w:p>
    <w:p>
      <w:pPr>
        <w:ind w:firstLine="1560" w:firstLineChars="65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 xml:space="preserve"> 因为每根集装箱底横梁槽钢的最大有效安全负荷是1.5吨，所以请务必确保</w:t>
      </w:r>
    </w:p>
    <w:p>
      <w:pPr>
        <w:ind w:left="210" w:firstLine="1320" w:firstLineChars="550"/>
        <w:rPr>
          <w:rFonts w:asciiTheme="minorEastAsia" w:hAnsiTheme="minorEastAsia"/>
          <w:szCs w:val="21"/>
        </w:rPr>
      </w:pPr>
      <w:r>
        <w:rPr>
          <w:rFonts w:hint="eastAsia" w:asciiTheme="minorEastAsia" w:hAnsiTheme="minorEastAsia"/>
          <w:szCs w:val="21"/>
        </w:rPr>
        <w:t>每个大型块状石材货物底下的木方衬垫能纵向跨过足够多的箱底横梁(即箱内纵向</w:t>
      </w:r>
    </w:p>
    <w:p>
      <w:pPr>
        <w:ind w:left="210" w:firstLine="1320" w:firstLineChars="550"/>
        <w:rPr>
          <w:rFonts w:asciiTheme="minorEastAsia" w:hAnsiTheme="minorEastAsia"/>
          <w:szCs w:val="21"/>
        </w:rPr>
      </w:pPr>
      <w:r>
        <w:rPr>
          <w:rFonts w:hint="eastAsia" w:asciiTheme="minorEastAsia" w:hAnsiTheme="minorEastAsia"/>
          <w:szCs w:val="21"/>
        </w:rPr>
        <w:t>跨度每跨过1米，请务必确保承受的大型块状石材货物重量小于4.5吨）。</w:t>
      </w:r>
    </w:p>
    <w:p>
      <w:pPr>
        <w:ind w:left="210" w:firstLine="1320" w:firstLineChars="55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 xml:space="preserve"> 作为衬垫的木方横截面不得小于15厘米X15厘米,且需确保在承运期间衬垫木方</w:t>
      </w:r>
    </w:p>
    <w:p>
      <w:pPr>
        <w:ind w:left="210" w:firstLine="1320" w:firstLineChars="550"/>
        <w:rPr>
          <w:rFonts w:asciiTheme="minorEastAsia" w:hAnsiTheme="minorEastAsia"/>
          <w:szCs w:val="21"/>
        </w:rPr>
      </w:pPr>
      <w:r>
        <w:rPr>
          <w:rFonts w:hint="eastAsia" w:asciiTheme="minorEastAsia" w:hAnsiTheme="minorEastAsia"/>
          <w:szCs w:val="21"/>
        </w:rPr>
        <w:t>不断、不裂（外贸运输木方需熏蒸）。</w:t>
      </w:r>
    </w:p>
    <w:p>
      <w:pPr>
        <w:ind w:left="210" w:firstLine="1320" w:firstLineChars="550"/>
        <w:rPr>
          <w:rFonts w:asciiTheme="minorEastAsia" w:hAnsiTheme="minorEastAsia"/>
          <w:szCs w:val="21"/>
        </w:rPr>
      </w:pPr>
    </w:p>
    <w:p>
      <w:pPr>
        <w:ind w:left="420" w:firstLine="1080" w:firstLineChars="450"/>
        <w:rPr>
          <w:rFonts w:asciiTheme="minorEastAsia" w:hAnsiTheme="minorEastAsia"/>
          <w:szCs w:val="21"/>
        </w:rPr>
      </w:pPr>
      <w:r>
        <w:rPr>
          <w:rFonts w:hint="eastAsia" w:asciiTheme="minorEastAsia" w:hAnsiTheme="minorEastAsia"/>
          <w:szCs w:val="21"/>
        </w:rPr>
        <w:t>禁止在20OT干货开顶箱内承运单块重量大于8吨的大型块状石材货物。</w:t>
      </w:r>
    </w:p>
    <w:p>
      <w:pPr>
        <w:ind w:left="420" w:firstLine="1080" w:firstLineChars="450"/>
        <w:rPr>
          <w:rFonts w:asciiTheme="minorEastAsia" w:hAnsiTheme="minorEastAsia"/>
          <w:szCs w:val="21"/>
        </w:rPr>
      </w:pPr>
    </w:p>
    <w:p>
      <w:pPr>
        <w:ind w:left="420" w:firstLine="1080" w:firstLineChars="450"/>
        <w:rPr>
          <w:rFonts w:asciiTheme="minorEastAsia" w:hAnsiTheme="minorEastAsia"/>
          <w:szCs w:val="21"/>
        </w:rPr>
      </w:pPr>
      <w:r>
        <w:rPr>
          <w:rFonts w:hint="eastAsia" w:asciiTheme="minorEastAsia" w:hAnsiTheme="minorEastAsia"/>
          <w:szCs w:val="21"/>
        </w:rPr>
        <w:t>通过合理绑扎确保在装卸、运输期间大型块状石材货物在集装箱内不会有任何滑动。</w:t>
      </w:r>
    </w:p>
    <w:p>
      <w:pPr>
        <w:widowControl/>
        <w:shd w:val="clear" w:color="auto" w:fill="FFFFFF"/>
        <w:spacing w:before="100" w:beforeAutospacing="1" w:after="100" w:afterAutospacing="1"/>
        <w:ind w:left="1560" w:leftChars="400" w:hanging="600" w:hangingChars="250"/>
        <w:contextualSpacing/>
        <w:jc w:val="left"/>
        <w:rPr>
          <w:rFonts w:ascii="宋体" w:hAnsi="宋体" w:cs="宋体"/>
          <w:color w:val="3E3E3E"/>
          <w:szCs w:val="21"/>
        </w:rPr>
      </w:pPr>
    </w:p>
    <w:p>
      <w:pPr>
        <w:widowControl/>
        <w:shd w:val="clear" w:color="auto" w:fill="FFFFFF"/>
        <w:spacing w:before="100" w:beforeAutospacing="1" w:after="100" w:afterAutospacing="1"/>
        <w:ind w:left="1560" w:leftChars="400" w:hanging="600" w:hangingChars="250"/>
        <w:contextualSpacing/>
        <w:jc w:val="left"/>
        <w:rPr>
          <w:rFonts w:ascii="宋体" w:hAnsi="宋体" w:cs="宋体"/>
          <w:color w:val="3E3E3E"/>
          <w:szCs w:val="21"/>
        </w:rPr>
      </w:pPr>
      <w:r>
        <w:rPr>
          <w:rFonts w:hint="eastAsia" w:ascii="宋体" w:hAnsi="宋体" w:cs="宋体"/>
          <w:color w:val="3E3E3E"/>
          <w:szCs w:val="21"/>
        </w:rPr>
        <w:t>D:   20OT干货开顶箱内的绑扎铃环是有强度限制的，底板绑扎铃环的强度是每个2吨，立柱上的绑扎铃环强度是每个1.5吨。</w:t>
      </w:r>
    </w:p>
    <w:p>
      <w:pPr>
        <w:widowControl/>
        <w:shd w:val="clear" w:color="auto" w:fill="FFFFFF"/>
        <w:spacing w:before="100" w:beforeAutospacing="1" w:after="100" w:afterAutospacing="1"/>
        <w:ind w:left="1560" w:leftChars="400" w:hanging="600" w:hangingChars="250"/>
        <w:contextualSpacing/>
        <w:jc w:val="left"/>
        <w:rPr>
          <w:rFonts w:ascii="宋体" w:hAnsi="宋体" w:cs="宋体"/>
          <w:color w:val="3E3E3E"/>
          <w:szCs w:val="21"/>
        </w:rPr>
      </w:pPr>
    </w:p>
    <w:p>
      <w:pPr>
        <w:widowControl/>
        <w:shd w:val="clear" w:color="auto" w:fill="FFFFFF"/>
        <w:spacing w:before="100" w:beforeAutospacing="1" w:after="100" w:afterAutospacing="1"/>
        <w:ind w:left="1800" w:leftChars="400" w:hanging="840" w:hangingChars="350"/>
        <w:contextualSpacing/>
        <w:jc w:val="left"/>
        <w:rPr>
          <w:rFonts w:ascii="宋体" w:hAnsi="宋体" w:cs="宋体"/>
          <w:color w:val="3E3E3E"/>
          <w:szCs w:val="21"/>
        </w:rPr>
      </w:pPr>
      <w:r>
        <w:rPr>
          <w:rFonts w:hint="eastAsia" w:ascii="宋体" w:hAnsi="宋体" w:cs="宋体"/>
          <w:color w:val="3E3E3E"/>
          <w:szCs w:val="21"/>
        </w:rPr>
        <w:t>E:   20OT干货开顶箱的箱壁钢板的平均厚度仅2MM左右。其强度是非常小，根本不能</w:t>
      </w:r>
    </w:p>
    <w:p>
      <w:pPr>
        <w:widowControl/>
        <w:shd w:val="clear" w:color="auto" w:fill="FFFFFF"/>
        <w:spacing w:before="100" w:beforeAutospacing="1" w:after="100" w:afterAutospacing="1"/>
        <w:ind w:left="1800" w:leftChars="650" w:hanging="240" w:hangingChars="100"/>
        <w:contextualSpacing/>
        <w:jc w:val="left"/>
        <w:rPr>
          <w:rFonts w:ascii="宋体" w:hAnsi="宋体" w:cs="宋体"/>
          <w:color w:val="3E3E3E"/>
          <w:szCs w:val="21"/>
        </w:rPr>
      </w:pPr>
      <w:r>
        <w:rPr>
          <w:rFonts w:hint="eastAsia" w:ascii="宋体" w:hAnsi="宋体" w:cs="宋体"/>
          <w:color w:val="3E3E3E"/>
          <w:szCs w:val="21"/>
        </w:rPr>
        <w:t>用来支撑或防止大型块状石材货物的移动。针对以上两点，要求大型块状石材货物</w:t>
      </w:r>
    </w:p>
    <w:p>
      <w:pPr>
        <w:widowControl/>
        <w:shd w:val="clear" w:color="auto" w:fill="FFFFFF"/>
        <w:spacing w:before="100" w:beforeAutospacing="1" w:after="100" w:afterAutospacing="1"/>
        <w:ind w:left="1800" w:leftChars="650" w:hanging="240" w:hangingChars="100"/>
        <w:contextualSpacing/>
        <w:jc w:val="left"/>
        <w:rPr>
          <w:rFonts w:ascii="宋体" w:hAnsi="宋体" w:cs="宋体"/>
          <w:color w:val="3E3E3E"/>
          <w:szCs w:val="21"/>
        </w:rPr>
      </w:pPr>
      <w:r>
        <w:rPr>
          <w:rFonts w:hint="eastAsia" w:ascii="宋体" w:hAnsi="宋体" w:cs="宋体"/>
          <w:color w:val="3E3E3E"/>
          <w:szCs w:val="21"/>
        </w:rPr>
        <w:t>在箱内绑扎必须增加绑扎道数，以便使得单根绑扎的拉力小于箱内绑扎铃环的强度</w:t>
      </w:r>
    </w:p>
    <w:p>
      <w:pPr>
        <w:widowControl/>
        <w:shd w:val="clear" w:color="auto" w:fill="FFFFFF"/>
        <w:spacing w:before="100" w:beforeAutospacing="1" w:after="100" w:afterAutospacing="1"/>
        <w:ind w:left="1800" w:leftChars="650" w:hanging="240" w:hangingChars="100"/>
        <w:contextualSpacing/>
        <w:jc w:val="left"/>
        <w:rPr>
          <w:rFonts w:ascii="宋体" w:hAnsi="宋体" w:cs="宋体"/>
          <w:color w:val="3E3E3E"/>
          <w:szCs w:val="21"/>
        </w:rPr>
      </w:pPr>
      <w:r>
        <w:rPr>
          <w:rFonts w:hint="eastAsia" w:ascii="宋体" w:hAnsi="宋体" w:cs="宋体"/>
          <w:color w:val="3E3E3E"/>
          <w:szCs w:val="21"/>
        </w:rPr>
        <w:t>同时避免用集装箱箱壁来支撑或防止大型块状石材货物的滑动。</w:t>
      </w:r>
    </w:p>
    <w:p>
      <w:pPr>
        <w:tabs>
          <w:tab w:val="left" w:pos="1620"/>
        </w:tabs>
        <w:ind w:left="1620" w:hanging="900"/>
        <w:rPr>
          <w:rFonts w:asciiTheme="minorEastAsia" w:hAnsiTheme="minorEastAsia" w:eastAsiaTheme="minorEastAsia"/>
          <w:szCs w:val="21"/>
        </w:rPr>
      </w:pPr>
    </w:p>
    <w:p>
      <w:pPr>
        <w:tabs>
          <w:tab w:val="left" w:pos="1620"/>
        </w:tabs>
        <w:ind w:left="1620" w:hanging="900"/>
        <w:rPr>
          <w:rFonts w:asciiTheme="minorEastAsia" w:hAnsiTheme="minorEastAsia" w:eastAsiaTheme="minorEastAsia"/>
          <w:szCs w:val="21"/>
        </w:rPr>
      </w:pPr>
    </w:p>
    <w:p>
      <w:pPr>
        <w:widowControl/>
        <w:adjustRightInd/>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三）质量记录</w:t>
      </w:r>
    </w:p>
    <w:p>
      <w:pPr>
        <w:pStyle w:val="7"/>
        <w:numPr>
          <w:ilvl w:val="0"/>
          <w:numId w:val="3"/>
        </w:numPr>
        <w:adjustRightIn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《大型块状石材货物集装箱安全操作须知》</w:t>
      </w:r>
    </w:p>
    <w:p>
      <w:pPr>
        <w:spacing w:line="360" w:lineRule="auto"/>
        <w:rPr>
          <w:rFonts w:asciiTheme="minorEastAsia" w:hAnsiTheme="minorEastAsia" w:eastAsiaTheme="minorEastAsia"/>
          <w:b/>
          <w:szCs w:val="21"/>
        </w:rPr>
      </w:pPr>
    </w:p>
    <w:p>
      <w:pPr>
        <w:tabs>
          <w:tab w:val="left" w:pos="1260"/>
        </w:tabs>
        <w:adjustRightInd/>
        <w:spacing w:line="360" w:lineRule="auto"/>
        <w:textAlignment w:val="auto"/>
        <w:rPr>
          <w:rFonts w:ascii="宋体" w:hAnsi="宋体"/>
          <w:bCs/>
        </w:rPr>
      </w:pPr>
      <w:r>
        <w:rPr>
          <w:rFonts w:hint="eastAsia" w:ascii="宋体" w:hAnsi="宋体"/>
          <w:bCs/>
        </w:rPr>
        <w:t>四）本规定由上海泛亚航运有限公司负责解释。</w:t>
      </w:r>
    </w:p>
    <w:p>
      <w:pPr>
        <w:rPr>
          <w:rFonts w:hint="default" w:asciiTheme="minorEastAsia" w:hAnsiTheme="minorEastAsia" w:eastAsiaTheme="minorEastAsia"/>
          <w:sz w:val="44"/>
          <w:szCs w:val="44"/>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67BF5"/>
    <w:multiLevelType w:val="multilevel"/>
    <w:tmpl w:val="47967BF5"/>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AC6A66"/>
    <w:multiLevelType w:val="multilevel"/>
    <w:tmpl w:val="5CAC6A66"/>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C648D"/>
    <w:multiLevelType w:val="multilevel"/>
    <w:tmpl w:val="68AC64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F4E99"/>
    <w:rsid w:val="1A5764C8"/>
    <w:rsid w:val="47B77136"/>
    <w:rsid w:val="48CF4E99"/>
    <w:rsid w:val="71BC12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te Heading"/>
    <w:basedOn w:val="1"/>
    <w:next w:val="1"/>
    <w:uiPriority w:val="0"/>
    <w:pPr>
      <w:jc w:val="center"/>
    </w:pPr>
  </w:style>
  <w:style w:type="paragraph" w:customStyle="1" w:styleId="5">
    <w:name w:val="Default"/>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customStyle="1" w:styleId="6">
    <w:name w:val="Body text|1"/>
    <w:basedOn w:val="1"/>
    <w:qFormat/>
    <w:uiPriority w:val="0"/>
    <w:pPr>
      <w:widowControl w:val="0"/>
      <w:shd w:val="clear" w:color="auto" w:fill="auto"/>
      <w:spacing w:line="403" w:lineRule="auto"/>
      <w:ind w:firstLine="400"/>
    </w:pPr>
    <w:rPr>
      <w:rFonts w:ascii="宋体" w:hAnsi="宋体" w:eastAsia="宋体" w:cs="宋体"/>
      <w:sz w:val="22"/>
      <w:szCs w:val="22"/>
      <w:u w:val="none"/>
      <w:shd w:val="clear" w:color="auto" w:fill="auto"/>
      <w:lang w:val="zh-TW" w:eastAsia="zh-TW" w:bidi="zh-TW"/>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2021-09-26T07:05:00Z</dcterms:created>
  <dc:creator>香雪海er</dc:creator>
  <cp:lastModifiedBy>香雪海er</cp:lastModifiedBy>
  <dcterms:modified xsi:type="dcterms:W3CDTF">2021-09-29T08:54:44Z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C7A58052E2BB4B62AB910761591F398A</vt:lpwstr>
  </property>
</Properties>
</file>